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BD" w:rsidRPr="00DC7DBD" w:rsidRDefault="00DC7DBD" w:rsidP="00DC7DBD">
      <w:pPr>
        <w:widowControl w:val="0"/>
        <w:suppressAutoHyphens w:val="0"/>
        <w:autoSpaceDN/>
        <w:spacing w:line="480" w:lineRule="auto"/>
        <w:jc w:val="both"/>
        <w:textAlignment w:val="auto"/>
        <w:rPr>
          <w:b/>
          <w:color w:val="000000"/>
          <w:sz w:val="24"/>
          <w:szCs w:val="24"/>
          <w:lang w:val="es-ES"/>
        </w:rPr>
      </w:pPr>
      <w:r w:rsidRPr="00DC7DBD">
        <w:rPr>
          <w:b/>
          <w:color w:val="000000"/>
          <w:sz w:val="24"/>
          <w:szCs w:val="24"/>
          <w:lang w:val="es-ES" w:eastAsia="es-ES_tradnl"/>
        </w:rPr>
        <w:t xml:space="preserve">DECLARACIÓN RESPONSABLE DE TÉCNICO COMPETENTE RESPECTO DE LOS VOLUMENES DE REFERENCIA CALCULADOS EN EL PRESENTE PROYECTO. </w:t>
      </w:r>
    </w:p>
    <w:p w:rsidR="00DC7DBD" w:rsidRPr="00DC7DBD" w:rsidRDefault="00DC7DBD" w:rsidP="00DC7DBD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850"/>
          <w:tab w:val="left" w:pos="1134"/>
          <w:tab w:val="left" w:pos="1440"/>
          <w:tab w:val="left" w:pos="1700"/>
          <w:tab w:val="left" w:pos="1983"/>
          <w:tab w:val="left" w:pos="2268"/>
          <w:tab w:val="left" w:pos="2551"/>
          <w:tab w:val="left" w:pos="2880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</w:tabs>
        <w:suppressAutoHyphens w:val="0"/>
        <w:autoSpaceDN/>
        <w:spacing w:line="480" w:lineRule="auto"/>
        <w:jc w:val="both"/>
        <w:textAlignment w:val="auto"/>
        <w:rPr>
          <w:b/>
          <w:color w:val="000000"/>
          <w:sz w:val="8"/>
          <w:szCs w:val="8"/>
          <w:lang w:val="es-ES"/>
        </w:rPr>
      </w:pPr>
    </w:p>
    <w:p w:rsidR="00DC7DBD" w:rsidRPr="00DC7DBD" w:rsidRDefault="00DC7DBD" w:rsidP="00DC7DBD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850"/>
          <w:tab w:val="left" w:pos="1134"/>
          <w:tab w:val="left" w:pos="1440"/>
          <w:tab w:val="left" w:pos="1700"/>
          <w:tab w:val="left" w:pos="1983"/>
          <w:tab w:val="left" w:pos="2268"/>
          <w:tab w:val="left" w:pos="2551"/>
          <w:tab w:val="left" w:pos="2880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</w:tabs>
        <w:suppressAutoHyphens w:val="0"/>
        <w:autoSpaceDN/>
        <w:spacing w:line="480" w:lineRule="auto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proofErr w:type="gramStart"/>
      <w:r w:rsidRPr="00DC7DBD">
        <w:rPr>
          <w:rFonts w:ascii="Calibri" w:hAnsi="Calibri"/>
          <w:color w:val="000000"/>
          <w:sz w:val="24"/>
          <w:szCs w:val="24"/>
          <w:lang w:val="es-ES"/>
        </w:rPr>
        <w:t>D./</w:t>
      </w:r>
      <w:proofErr w:type="gramEnd"/>
      <w:r w:rsidRPr="00DC7DBD">
        <w:rPr>
          <w:rFonts w:ascii="Calibri" w:hAnsi="Calibri"/>
          <w:color w:val="000000"/>
          <w:sz w:val="24"/>
          <w:szCs w:val="24"/>
          <w:lang w:val="es-ES"/>
        </w:rPr>
        <w:t>Dª. ………………………………………….. (nombre y apellidos) con NIF nº……………. …………………., tel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é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fono de contacto…………..………….…y dirección de correo electrónico…………………………….,</w:t>
      </w:r>
    </w:p>
    <w:p w:rsidR="00DC7DBD" w:rsidRPr="00DC7DBD" w:rsidRDefault="00DC7DBD" w:rsidP="00DC7DBD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850"/>
          <w:tab w:val="left" w:pos="1134"/>
          <w:tab w:val="left" w:pos="1440"/>
          <w:tab w:val="left" w:pos="1700"/>
          <w:tab w:val="left" w:pos="1983"/>
          <w:tab w:val="left" w:pos="2268"/>
          <w:tab w:val="left" w:pos="2551"/>
          <w:tab w:val="left" w:pos="2880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</w:tabs>
        <w:suppressAutoHyphens w:val="0"/>
        <w:autoSpaceDN/>
        <w:spacing w:line="480" w:lineRule="auto"/>
        <w:jc w:val="both"/>
        <w:textAlignment w:val="auto"/>
        <w:rPr>
          <w:rFonts w:ascii="Calibri" w:hAnsi="Calibri"/>
          <w:b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b/>
          <w:color w:val="000000"/>
          <w:sz w:val="24"/>
          <w:szCs w:val="24"/>
          <w:lang w:val="es-ES"/>
        </w:rPr>
        <w:t>DECLARA</w:t>
      </w:r>
    </w:p>
    <w:p w:rsidR="00DC7DBD" w:rsidRDefault="00DC7DBD" w:rsidP="00DC7DB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3"/>
          <w:tab w:val="left" w:pos="567"/>
          <w:tab w:val="left" w:pos="1440"/>
          <w:tab w:val="left" w:pos="1700"/>
          <w:tab w:val="left" w:pos="1983"/>
          <w:tab w:val="left" w:pos="2268"/>
          <w:tab w:val="left" w:pos="2551"/>
          <w:tab w:val="left" w:pos="2880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</w:tabs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>Que respecto de cada estación del presente proyecto para la que es preciso</w:t>
      </w:r>
      <w:r w:rsidRPr="00DC7DBD">
        <w:rPr>
          <w:rFonts w:ascii="Calibri" w:hAnsi="Calibri"/>
          <w:noProof/>
          <w:color w:val="000000"/>
          <w:sz w:val="24"/>
          <w:szCs w:val="24"/>
          <w:vertAlign w:val="superscript"/>
          <w:lang w:val="es-ES"/>
        </w:rPr>
        <w:footnoteReference w:id="1"/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 xml:space="preserve"> calcular el vol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u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men de referencia, en zonas cercanas a la estación NO SE SUPERAN en el exterior del respe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c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tivo volumen de referencia calculado, los límites de exposición a las emisiones r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a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 xml:space="preserve">dioeléctricas establecidos en el apartado 3 del Anexo II del Real Decreto 1066/2001, de 28 de septiembre. </w:t>
      </w:r>
    </w:p>
    <w:p w:rsidR="00DC7DBD" w:rsidRPr="00DC7DBD" w:rsidRDefault="00DC7DBD" w:rsidP="00DC7DBD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7"/>
          <w:tab w:val="left" w:pos="1440"/>
          <w:tab w:val="left" w:pos="1700"/>
          <w:tab w:val="left" w:pos="1983"/>
          <w:tab w:val="left" w:pos="2268"/>
          <w:tab w:val="left" w:pos="2551"/>
          <w:tab w:val="left" w:pos="2880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</w:tabs>
        <w:suppressAutoHyphens w:val="0"/>
        <w:autoSpaceDN/>
        <w:spacing w:line="360" w:lineRule="auto"/>
        <w:ind w:left="357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</w:p>
    <w:p w:rsidR="00DC7DBD" w:rsidRPr="00DC7DBD" w:rsidRDefault="00DC7DBD" w:rsidP="00DC7DB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83"/>
          <w:tab w:val="left" w:pos="567"/>
          <w:tab w:val="left" w:pos="1440"/>
          <w:tab w:val="left" w:pos="1700"/>
          <w:tab w:val="left" w:pos="1983"/>
          <w:tab w:val="left" w:pos="2268"/>
          <w:tab w:val="left" w:pos="2551"/>
          <w:tab w:val="left" w:pos="2880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</w:tabs>
        <w:suppressAutoHyphens w:val="0"/>
        <w:autoSpaceDN/>
        <w:spacing w:line="480" w:lineRule="auto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>Que para realizar los cálculos respecto de cada volumen de referencia:</w:t>
      </w:r>
    </w:p>
    <w:p w:rsidR="00DC7DBD" w:rsidRPr="00DC7DBD" w:rsidRDefault="00DC7DBD" w:rsidP="00DC7DBD">
      <w:pPr>
        <w:widowControl w:val="0"/>
        <w:numPr>
          <w:ilvl w:val="0"/>
          <w:numId w:val="4"/>
        </w:numPr>
        <w:tabs>
          <w:tab w:val="left" w:pos="-2694"/>
          <w:tab w:val="left" w:pos="-1560"/>
          <w:tab w:val="left" w:pos="-1440"/>
          <w:tab w:val="left" w:pos="-1276"/>
          <w:tab w:val="left" w:pos="-72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>Se ha utilizado la PIRE máxima especificada para cada sector en el fichero XML del proyecto, sin aplicar ningún coeficiente reductor.</w:t>
      </w:r>
    </w:p>
    <w:p w:rsidR="00DC7DBD" w:rsidRPr="00DC7DBD" w:rsidRDefault="00DC7DBD" w:rsidP="00DC7DBD">
      <w:pPr>
        <w:widowControl w:val="0"/>
        <w:numPr>
          <w:ilvl w:val="0"/>
          <w:numId w:val="4"/>
        </w:numPr>
        <w:tabs>
          <w:tab w:val="left" w:pos="-2694"/>
          <w:tab w:val="left" w:pos="-1560"/>
          <w:tab w:val="left" w:pos="-1440"/>
          <w:tab w:val="left" w:pos="-1276"/>
          <w:tab w:val="left" w:pos="-72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>En el caso de 5G, la PIRE máxima utilizada para el cálculo se basa en las conclusiones de la Norma UNE-EN 62232:2017 y del Informe Técnico de referencia IEC TR 62669:2019.</w:t>
      </w:r>
    </w:p>
    <w:p w:rsidR="00DC7DBD" w:rsidRPr="00DC7DBD" w:rsidRDefault="00DC7DBD" w:rsidP="00DC7DBD">
      <w:pPr>
        <w:widowControl w:val="0"/>
        <w:numPr>
          <w:ilvl w:val="0"/>
          <w:numId w:val="4"/>
        </w:numPr>
        <w:tabs>
          <w:tab w:val="left" w:pos="-2694"/>
          <w:tab w:val="left" w:pos="-1560"/>
          <w:tab w:val="left" w:pos="-1440"/>
          <w:tab w:val="left" w:pos="-1276"/>
          <w:tab w:val="left" w:pos="-72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>Se han considerado las aportaciones de las estaciones radioeléctricas preexistentes que puedan contribuir significativamente a los niveles de exposición en el entorno de la estación.</w:t>
      </w:r>
    </w:p>
    <w:p w:rsidR="00DC7DBD" w:rsidRPr="00DC7DBD" w:rsidRDefault="00DC7DBD" w:rsidP="00DC7DBD">
      <w:pPr>
        <w:widowControl w:val="0"/>
        <w:numPr>
          <w:ilvl w:val="0"/>
          <w:numId w:val="4"/>
        </w:numPr>
        <w:tabs>
          <w:tab w:val="left" w:pos="-2694"/>
          <w:tab w:val="left" w:pos="-1560"/>
          <w:tab w:val="left" w:pos="-1440"/>
          <w:tab w:val="left" w:pos="-1276"/>
          <w:tab w:val="left" w:pos="-72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>Se ha utilizado el valor del coeficiente de reflexión más adecuado al emplazamiento de la e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s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 xml:space="preserve">tación. </w:t>
      </w:r>
    </w:p>
    <w:p w:rsidR="00DC7DBD" w:rsidRPr="00DC7DBD" w:rsidRDefault="00DC7DBD" w:rsidP="00DC7DBD">
      <w:pPr>
        <w:widowControl w:val="0"/>
        <w:numPr>
          <w:ilvl w:val="0"/>
          <w:numId w:val="4"/>
        </w:numPr>
        <w:tabs>
          <w:tab w:val="left" w:pos="-2694"/>
          <w:tab w:val="left" w:pos="-1560"/>
          <w:tab w:val="left" w:pos="-1440"/>
          <w:tab w:val="left" w:pos="-1276"/>
          <w:tab w:val="left" w:pos="-72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>Los volúmenes de referencia calculados no inciden sobre zonas ni edificios que no sean de la propiedad en la que se ubica la estación.</w:t>
      </w:r>
    </w:p>
    <w:p w:rsidR="00DC7DBD" w:rsidRPr="00DC7DBD" w:rsidRDefault="00DC7DBD" w:rsidP="00DC7DBD">
      <w:pPr>
        <w:widowControl w:val="0"/>
        <w:numPr>
          <w:ilvl w:val="0"/>
          <w:numId w:val="4"/>
        </w:numPr>
        <w:tabs>
          <w:tab w:val="left" w:pos="-2694"/>
          <w:tab w:val="left" w:pos="-1560"/>
          <w:tab w:val="left" w:pos="-1440"/>
          <w:tab w:val="left" w:pos="-1276"/>
          <w:tab w:val="left" w:pos="-72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>Se han establecido las medidas necesarias para que cuando se superen los límites de expos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i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ción a emisiones radioeléctricas (volumen de referencia) en zonas donde haya permanencia habitual de personas, se señalice adecuadamente y se restrinja el acceso de personal no pr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o</w:t>
      </w:r>
      <w:r w:rsidRPr="00DC7DBD">
        <w:rPr>
          <w:rFonts w:ascii="Calibri" w:hAnsi="Calibri"/>
          <w:color w:val="000000"/>
          <w:sz w:val="24"/>
          <w:szCs w:val="24"/>
          <w:lang w:val="es-ES"/>
        </w:rPr>
        <w:t>fesional a dichas zonas.</w:t>
      </w:r>
    </w:p>
    <w:p w:rsidR="00DC7DBD" w:rsidRPr="00DC7DBD" w:rsidRDefault="00DC7DBD" w:rsidP="00DC7DBD">
      <w:pPr>
        <w:widowControl w:val="0"/>
        <w:numPr>
          <w:ilvl w:val="0"/>
          <w:numId w:val="4"/>
        </w:numPr>
        <w:tabs>
          <w:tab w:val="left" w:pos="-2694"/>
          <w:tab w:val="left" w:pos="-1560"/>
          <w:tab w:val="left" w:pos="-1440"/>
          <w:tab w:val="left" w:pos="-1276"/>
          <w:tab w:val="left" w:pos="-720"/>
        </w:tabs>
        <w:suppressAutoHyphens w:val="0"/>
        <w:autoSpaceDN/>
        <w:spacing w:line="360" w:lineRule="auto"/>
        <w:ind w:left="426" w:hanging="142"/>
        <w:jc w:val="both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  <w:r w:rsidRPr="00DC7DBD">
        <w:rPr>
          <w:rFonts w:ascii="Calibri" w:hAnsi="Calibri"/>
          <w:color w:val="000000"/>
          <w:sz w:val="24"/>
          <w:szCs w:val="24"/>
          <w:lang w:val="es-ES"/>
        </w:rPr>
        <w:t xml:space="preserve">Se ha estudiado el entorno de la estación e identificado los espacios sensibles en su caso. </w:t>
      </w:r>
    </w:p>
    <w:p w:rsidR="00DC7DBD" w:rsidRDefault="00DC7DBD" w:rsidP="00DC7DBD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850"/>
          <w:tab w:val="left" w:pos="1134"/>
          <w:tab w:val="left" w:pos="1440"/>
          <w:tab w:val="left" w:pos="1700"/>
          <w:tab w:val="left" w:pos="1983"/>
          <w:tab w:val="left" w:pos="2268"/>
          <w:tab w:val="left" w:pos="2551"/>
          <w:tab w:val="left" w:pos="2880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</w:tabs>
        <w:suppressAutoHyphens w:val="0"/>
        <w:autoSpaceDN/>
        <w:spacing w:line="480" w:lineRule="auto"/>
        <w:textAlignment w:val="auto"/>
        <w:rPr>
          <w:rFonts w:ascii="Calibri" w:hAnsi="Calibri"/>
          <w:color w:val="000000"/>
          <w:sz w:val="24"/>
          <w:szCs w:val="24"/>
          <w:lang w:val="es-ES"/>
        </w:rPr>
      </w:pPr>
    </w:p>
    <w:p w:rsidR="00DC7DBD" w:rsidRPr="00DC7DBD" w:rsidRDefault="00DC7DBD" w:rsidP="00DC7DBD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850"/>
          <w:tab w:val="left" w:pos="1134"/>
          <w:tab w:val="left" w:pos="1440"/>
          <w:tab w:val="left" w:pos="1700"/>
          <w:tab w:val="left" w:pos="1983"/>
          <w:tab w:val="left" w:pos="2268"/>
          <w:tab w:val="left" w:pos="2551"/>
          <w:tab w:val="left" w:pos="2880"/>
          <w:tab w:val="left" w:pos="3117"/>
          <w:tab w:val="left" w:pos="3400"/>
          <w:tab w:val="left" w:pos="3684"/>
          <w:tab w:val="left" w:pos="3968"/>
          <w:tab w:val="left" w:pos="4251"/>
          <w:tab w:val="left" w:pos="4534"/>
        </w:tabs>
        <w:suppressAutoHyphens w:val="0"/>
        <w:autoSpaceDN/>
        <w:spacing w:line="480" w:lineRule="auto"/>
        <w:textAlignment w:val="auto"/>
        <w:rPr>
          <w:b/>
          <w:color w:val="000000"/>
          <w:sz w:val="28"/>
          <w:szCs w:val="24"/>
          <w:lang w:val="es-ES"/>
        </w:rPr>
      </w:pPr>
      <w:bookmarkStart w:id="0" w:name="_GoBack"/>
      <w:bookmarkEnd w:id="0"/>
      <w:r w:rsidRPr="00DC7DBD" w:rsidDel="00DD61B1">
        <w:rPr>
          <w:rFonts w:ascii="Calibri" w:hAnsi="Calibri"/>
          <w:color w:val="000000"/>
          <w:sz w:val="24"/>
          <w:szCs w:val="24"/>
          <w:lang w:val="es-ES"/>
        </w:rPr>
        <w:t xml:space="preserve"> </w:t>
      </w:r>
      <w:r w:rsidRPr="00DC7DBD">
        <w:rPr>
          <w:b/>
          <w:color w:val="000000"/>
          <w:sz w:val="28"/>
          <w:szCs w:val="24"/>
          <w:lang w:val="es-ES"/>
        </w:rPr>
        <w:t>(Firma Electrónica)</w:t>
      </w:r>
    </w:p>
    <w:sectPr w:rsidR="00DC7DBD" w:rsidRPr="00DC7DBD">
      <w:footerReference w:type="default" r:id="rId8"/>
      <w:pgSz w:w="11899" w:h="16838"/>
      <w:pgMar w:top="1531" w:right="1267" w:bottom="993" w:left="1134" w:header="993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37" w:rsidRDefault="00F31037">
      <w:r>
        <w:separator/>
      </w:r>
    </w:p>
  </w:endnote>
  <w:endnote w:type="continuationSeparator" w:id="0">
    <w:p w:rsidR="00F31037" w:rsidRDefault="00F3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82" w:rsidRDefault="00F31037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6162671</wp:posOffset>
              </wp:positionH>
              <wp:positionV relativeFrom="paragraph">
                <wp:posOffset>1123953</wp:posOffset>
              </wp:positionV>
              <wp:extent cx="685800" cy="0"/>
              <wp:effectExtent l="0" t="0" r="19050" b="19050"/>
              <wp:wrapNone/>
              <wp:docPr id="1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" cy="0"/>
                      </a:xfrm>
                      <a:prstGeom prst="straightConnector1">
                        <a:avLst/>
                      </a:prstGeom>
                      <a:noFill/>
                      <a:ln w="2542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4" o:spid="_x0000_s1026" type="#_x0000_t32" style="position:absolute;margin-left:485.25pt;margin-top:88.5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" strokeweight=".07061mm"/>
          </w:pict>
        </mc:Fallback>
      </mc:AlternateContent>
    </w:r>
    <w:r w:rsidR="00DC7DBD">
      <w:t>15 de JULIO de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37" w:rsidRDefault="00F31037">
      <w:r>
        <w:rPr>
          <w:color w:val="000000"/>
        </w:rPr>
        <w:separator/>
      </w:r>
    </w:p>
  </w:footnote>
  <w:footnote w:type="continuationSeparator" w:id="0">
    <w:p w:rsidR="00F31037" w:rsidRDefault="00F31037">
      <w:r>
        <w:continuationSeparator/>
      </w:r>
    </w:p>
  </w:footnote>
  <w:footnote w:id="1">
    <w:p w:rsidR="00DC7DBD" w:rsidRPr="004043F0" w:rsidRDefault="00DC7DBD" w:rsidP="00DC7DBD">
      <w:pPr>
        <w:pStyle w:val="Textonotapie"/>
        <w:jc w:val="both"/>
        <w:rPr>
          <w:sz w:val="18"/>
          <w:lang w:val="es-ES"/>
        </w:rPr>
      </w:pPr>
      <w:r>
        <w:rPr>
          <w:rStyle w:val="Refdenotaalpie"/>
        </w:rPr>
        <w:footnoteRef/>
      </w:r>
      <w:r w:rsidRPr="00ED00B0">
        <w:rPr>
          <w:lang w:val="es-ES"/>
        </w:rPr>
        <w:t xml:space="preserve"> </w:t>
      </w:r>
      <w:r w:rsidRPr="004043F0">
        <w:rPr>
          <w:sz w:val="18"/>
          <w:lang w:val="es-ES"/>
        </w:rPr>
        <w:t>Artículo 53 del Reglamento sobre el uso del dominio público radioeléctrico aprobado por el Real Decreto 123/2017, de 24 de febrero.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14C"/>
    <w:multiLevelType w:val="multilevel"/>
    <w:tmpl w:val="FE40A49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3FD6383C"/>
    <w:multiLevelType w:val="multilevel"/>
    <w:tmpl w:val="192AD0B2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>
    <w:nsid w:val="5E1349CE"/>
    <w:multiLevelType w:val="hybridMultilevel"/>
    <w:tmpl w:val="59D487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995000"/>
    <w:multiLevelType w:val="hybridMultilevel"/>
    <w:tmpl w:val="A99076A4"/>
    <w:lvl w:ilvl="0" w:tplc="4EB85B9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964"/>
    <w:rsid w:val="001A2964"/>
    <w:rsid w:val="00DC7DBD"/>
    <w:rsid w:val="00F059BB"/>
    <w:rsid w:val="00F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/>
      <w:lang w:val="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/>
      <w:lang w:val="es"/>
    </w:rPr>
  </w:style>
  <w:style w:type="paragraph" w:styleId="Prrafodelista">
    <w:name w:val="List Paragraph"/>
    <w:basedOn w:val="Normal"/>
    <w:pPr>
      <w:ind w:left="708"/>
    </w:p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/>
      <w:lang w:val="es"/>
    </w:rPr>
  </w:style>
  <w:style w:type="character" w:styleId="Refdenotaalpie">
    <w:name w:val="foot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/>
      <w:lang w:val="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/>
      <w:lang w:val="es"/>
    </w:rPr>
  </w:style>
  <w:style w:type="paragraph" w:styleId="Prrafodelista">
    <w:name w:val="List Paragraph"/>
    <w:basedOn w:val="Normal"/>
    <w:pPr>
      <w:ind w:left="708"/>
    </w:p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/>
      <w:lang w:val="es"/>
    </w:rPr>
  </w:style>
  <w:style w:type="character" w:styleId="Refdenotaalpie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CCEF1-E626-4187-9B6D-35DF86D4518B}"/>
</file>

<file path=customXml/itemProps2.xml><?xml version="1.0" encoding="utf-8"?>
<ds:datastoreItem xmlns:ds="http://schemas.openxmlformats.org/officeDocument/2006/customXml" ds:itemID="{FFD437D3-97CF-41BE-88AD-086F3734D24F}"/>
</file>

<file path=customXml/itemProps3.xml><?xml version="1.0" encoding="utf-8"?>
<ds:datastoreItem xmlns:ds="http://schemas.openxmlformats.org/officeDocument/2006/customXml" ds:itemID="{13DF0EA1-265E-4CDA-AF73-ED6378C95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Criado Casado, Julia Inmaculada</dc:creator>
  <cp:lastModifiedBy>Criado Casado, Julia Inmaculada</cp:lastModifiedBy>
  <cp:revision>2</cp:revision>
  <dcterms:created xsi:type="dcterms:W3CDTF">2019-06-10T15:21:00Z</dcterms:created>
  <dcterms:modified xsi:type="dcterms:W3CDTF">2019-06-10T15:21:00Z</dcterms:modified>
</cp:coreProperties>
</file>